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D85" w:rsidRDefault="00504D85">
      <w:pPr>
        <w:pStyle w:val="ConsPlusTitlePage"/>
      </w:pPr>
      <w:r>
        <w:t xml:space="preserve">Документ предоставлен </w:t>
      </w:r>
      <w:hyperlink r:id="rId5">
        <w:r>
          <w:rPr>
            <w:color w:val="0000FF"/>
          </w:rPr>
          <w:t>КонсультантПлюс</w:t>
        </w:r>
      </w:hyperlink>
      <w:r>
        <w:br/>
      </w:r>
    </w:p>
    <w:p w:rsidR="00504D85" w:rsidRDefault="00504D85">
      <w:pPr>
        <w:pStyle w:val="ConsPlusNormal"/>
        <w:jc w:val="both"/>
        <w:outlineLvl w:val="0"/>
      </w:pPr>
    </w:p>
    <w:p w:rsidR="00504D85" w:rsidRDefault="00504D85">
      <w:pPr>
        <w:pStyle w:val="ConsPlusTitle"/>
        <w:jc w:val="center"/>
        <w:outlineLvl w:val="0"/>
      </w:pPr>
      <w:r>
        <w:t>ПРАВИТЕЛЬСТВО РОССИЙСКОЙ ФЕДЕРАЦИИ</w:t>
      </w:r>
    </w:p>
    <w:p w:rsidR="00504D85" w:rsidRDefault="00504D85">
      <w:pPr>
        <w:pStyle w:val="ConsPlusTitle"/>
        <w:jc w:val="center"/>
      </w:pPr>
    </w:p>
    <w:p w:rsidR="00504D85" w:rsidRDefault="00504D85">
      <w:pPr>
        <w:pStyle w:val="ConsPlusTitle"/>
        <w:jc w:val="center"/>
      </w:pPr>
      <w:r>
        <w:t>ПОСТАНОВЛЕНИЕ</w:t>
      </w:r>
    </w:p>
    <w:p w:rsidR="00504D85" w:rsidRDefault="00504D85">
      <w:pPr>
        <w:pStyle w:val="ConsPlusTitle"/>
        <w:jc w:val="center"/>
      </w:pPr>
      <w:r>
        <w:t>от 24 ноября 2023 г. N 1979</w:t>
      </w:r>
    </w:p>
    <w:p w:rsidR="00504D85" w:rsidRDefault="00504D85">
      <w:pPr>
        <w:pStyle w:val="ConsPlusTitle"/>
        <w:jc w:val="center"/>
      </w:pPr>
    </w:p>
    <w:p w:rsidR="00504D85" w:rsidRDefault="00504D85">
      <w:pPr>
        <w:pStyle w:val="ConsPlusTitle"/>
        <w:jc w:val="center"/>
      </w:pPr>
      <w:r>
        <w:t>О ВНЕСЕНИИ ИЗМЕНЕНИЙ</w:t>
      </w:r>
    </w:p>
    <w:p w:rsidR="00504D85" w:rsidRDefault="00504D85">
      <w:pPr>
        <w:pStyle w:val="ConsPlusTitle"/>
        <w:jc w:val="center"/>
      </w:pPr>
      <w:r>
        <w:t>В НЕКОТОРЫЕ АКТЫ ПРАВИТЕЛЬСТВА РОССИЙСКОЙ ФЕДЕРАЦИИ</w:t>
      </w:r>
    </w:p>
    <w:p w:rsidR="00504D85" w:rsidRDefault="00504D85">
      <w:pPr>
        <w:pStyle w:val="ConsPlusNormal"/>
        <w:jc w:val="center"/>
      </w:pPr>
    </w:p>
    <w:p w:rsidR="00504D85" w:rsidRDefault="00504D85">
      <w:pPr>
        <w:pStyle w:val="ConsPlusNormal"/>
        <w:ind w:firstLine="540"/>
        <w:jc w:val="both"/>
      </w:pPr>
      <w:r>
        <w:t>Правительство Российской Федерации постановляет:</w:t>
      </w:r>
    </w:p>
    <w:p w:rsidR="00504D85" w:rsidRDefault="00504D85">
      <w:pPr>
        <w:pStyle w:val="ConsPlusNormal"/>
        <w:spacing w:before="220"/>
        <w:ind w:firstLine="540"/>
        <w:jc w:val="both"/>
      </w:pPr>
      <w:r>
        <w:t xml:space="preserve">1. Утвердить прилагаемые </w:t>
      </w:r>
      <w:hyperlink w:anchor="P31">
        <w:r>
          <w:rPr>
            <w:color w:val="0000FF"/>
          </w:rPr>
          <w:t>изменения</w:t>
        </w:r>
      </w:hyperlink>
      <w:r>
        <w:t>, которые вносятся в акты Правительства Российской Федерации.</w:t>
      </w:r>
    </w:p>
    <w:p w:rsidR="00504D85" w:rsidRDefault="00504D85">
      <w:pPr>
        <w:pStyle w:val="ConsPlusNormal"/>
        <w:spacing w:before="220"/>
        <w:ind w:firstLine="540"/>
        <w:jc w:val="both"/>
      </w:pPr>
      <w:r>
        <w:t xml:space="preserve">2. Федеральной антимонопольной службе не позднее 30 ноября 2023 г. </w:t>
      </w:r>
      <w:proofErr w:type="gramStart"/>
      <w:r>
        <w:t>установить и ввести</w:t>
      </w:r>
      <w:proofErr w:type="gramEnd"/>
      <w:r>
        <w:t xml:space="preserve"> в действие:</w:t>
      </w:r>
    </w:p>
    <w:p w:rsidR="00504D85" w:rsidRDefault="00504D85">
      <w:pPr>
        <w:pStyle w:val="ConsPlusNormal"/>
        <w:spacing w:before="220"/>
        <w:ind w:firstLine="540"/>
        <w:jc w:val="both"/>
      </w:pPr>
      <w:bookmarkStart w:id="0" w:name="P12"/>
      <w:bookmarkEnd w:id="0"/>
      <w:proofErr w:type="gramStart"/>
      <w:r>
        <w:t>а) с 1 декабря 2023 г. оптовые цены на природный газ, добываемый и реализуемый потребителям Российской Федерации, в размере, увеличенном на 10 процентов (за исключением населения, организаций, осуществляющих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w:t>
      </w:r>
      <w:proofErr w:type="gramEnd"/>
      <w:r>
        <w:t xml:space="preserve"> </w:t>
      </w:r>
      <w:proofErr w:type="gramStart"/>
      <w:r>
        <w:t xml:space="preserve">ОКВЭД </w:t>
      </w:r>
      <w:hyperlink r:id="rId6">
        <w:r>
          <w:rPr>
            <w:color w:val="0000FF"/>
          </w:rPr>
          <w:t>35.11.1</w:t>
        </w:r>
      </w:hyperlink>
      <w:r>
        <w:t xml:space="preserve">, </w:t>
      </w:r>
      <w:hyperlink r:id="rId7">
        <w:r>
          <w:rPr>
            <w:color w:val="0000FF"/>
          </w:rPr>
          <w:t>35.30.11</w:t>
        </w:r>
      </w:hyperlink>
      <w:r>
        <w:t xml:space="preserve">, </w:t>
      </w:r>
      <w:hyperlink r:id="rId8">
        <w:r>
          <w:rPr>
            <w:color w:val="0000FF"/>
          </w:rPr>
          <w:t>35.30.14</w:t>
        </w:r>
      </w:hyperlink>
      <w:r>
        <w:t xml:space="preserve">, </w:t>
      </w:r>
      <w:hyperlink r:id="rId9">
        <w:r>
          <w:rPr>
            <w:color w:val="0000FF"/>
          </w:rPr>
          <w:t>35.30.2</w:t>
        </w:r>
      </w:hyperlink>
      <w:r>
        <w:t xml:space="preserve">, </w:t>
      </w:r>
      <w:hyperlink r:id="rId10">
        <w:r>
          <w:rPr>
            <w:color w:val="0000FF"/>
          </w:rPr>
          <w:t>35.30.3</w:t>
        </w:r>
      </w:hyperlink>
      <w:r>
        <w:t xml:space="preserve">, организаций, осуществляющих деятельность с указанными кодами </w:t>
      </w:r>
      <w:hyperlink r:id="rId11">
        <w:r>
          <w:rPr>
            <w:color w:val="0000FF"/>
          </w:rPr>
          <w:t>ОКВЭД</w:t>
        </w:r>
      </w:hyperlink>
      <w:r>
        <w:t xml:space="preserve">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w:t>
      </w:r>
      <w:hyperlink r:id="rId12">
        <w:r>
          <w:rPr>
            <w:color w:val="0000FF"/>
          </w:rPr>
          <w:t>35.11</w:t>
        </w:r>
      </w:hyperlink>
      <w:r>
        <w:t xml:space="preserve">, </w:t>
      </w:r>
      <w:hyperlink r:id="rId13">
        <w:r>
          <w:rPr>
            <w:color w:val="0000FF"/>
          </w:rPr>
          <w:t>35.3</w:t>
        </w:r>
      </w:hyperlink>
      <w:r>
        <w:t xml:space="preserve">, </w:t>
      </w:r>
      <w:hyperlink r:id="rId14">
        <w:r>
          <w:rPr>
            <w:color w:val="0000FF"/>
          </w:rPr>
          <w:t>35.30</w:t>
        </w:r>
      </w:hyperlink>
      <w:r>
        <w:t xml:space="preserve">, </w:t>
      </w:r>
      <w:hyperlink r:id="rId15">
        <w:r>
          <w:rPr>
            <w:color w:val="0000FF"/>
          </w:rPr>
          <w:t>35.30.1</w:t>
        </w:r>
      </w:hyperlink>
      <w:r>
        <w:t xml:space="preserve">, </w:t>
      </w:r>
      <w:hyperlink r:id="rId16">
        <w:r>
          <w:rPr>
            <w:color w:val="0000FF"/>
          </w:rPr>
          <w:t>68.32.1</w:t>
        </w:r>
      </w:hyperlink>
      <w:r>
        <w:t>, организаций, выручка от реализации тепловой и (или) электрической энергии (мощности) которых составляет не менее 75 процентов общей выручки, организаций, выручка от реализации тепловой</w:t>
      </w:r>
      <w:proofErr w:type="gramEnd"/>
      <w:r>
        <w:t xml:space="preserve"> </w:t>
      </w:r>
      <w:proofErr w:type="gramStart"/>
      <w:r>
        <w:t xml:space="preserve">и (или) электрической энергии (мощности) которых составляет менее 75 процентов общей выручки, приобретающих газ в объемах, необходимых для производства и реализации тепловой и (или) электрической энергии (мощности) по регулируемым ценам (тарифам) (далее - исключающая группа), либо организаций-недропользователей (коды ОКВЭД </w:t>
      </w:r>
      <w:hyperlink r:id="rId17">
        <w:r>
          <w:rPr>
            <w:color w:val="0000FF"/>
          </w:rPr>
          <w:t>06.10.1</w:t>
        </w:r>
      </w:hyperlink>
      <w:r>
        <w:t xml:space="preserve">, </w:t>
      </w:r>
      <w:hyperlink r:id="rId18">
        <w:r>
          <w:rPr>
            <w:color w:val="0000FF"/>
          </w:rPr>
          <w:t>06.20</w:t>
        </w:r>
      </w:hyperlink>
      <w:r>
        <w:t>) и (или) их аффилированных лиц, не входящих с такими недропользователями в одну группу компаний, или организаций, осуществляющих в качестве основного</w:t>
      </w:r>
      <w:proofErr w:type="gramEnd"/>
      <w:r>
        <w:t xml:space="preserve">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19">
        <w:r>
          <w:rPr>
            <w:color w:val="0000FF"/>
          </w:rPr>
          <w:t>35.22</w:t>
        </w:r>
      </w:hyperlink>
      <w:r>
        <w:t xml:space="preserve">, </w:t>
      </w:r>
      <w:hyperlink r:id="rId20">
        <w:r>
          <w:rPr>
            <w:color w:val="0000FF"/>
          </w:rPr>
          <w:t>46.71</w:t>
        </w:r>
      </w:hyperlink>
      <w:r>
        <w:t xml:space="preserve">, </w:t>
      </w:r>
      <w:proofErr w:type="gramStart"/>
      <w:r>
        <w:t>приобретающих</w:t>
      </w:r>
      <w:proofErr w:type="gramEnd"/>
      <w:r>
        <w:t xml:space="preserve"> газ для перепродажи потребителям, входящим в исключающую группу);</w:t>
      </w:r>
    </w:p>
    <w:p w:rsidR="00504D85" w:rsidRDefault="00504D85">
      <w:pPr>
        <w:pStyle w:val="ConsPlusNormal"/>
        <w:spacing w:before="220"/>
        <w:ind w:firstLine="540"/>
        <w:jc w:val="both"/>
      </w:pPr>
      <w:bookmarkStart w:id="1" w:name="P13"/>
      <w:bookmarkEnd w:id="1"/>
      <w:proofErr w:type="gramStart"/>
      <w:r>
        <w:t xml:space="preserve">б) с 1 декабря 2023 г. оптовые цены на природный газ для населения и организаций, входящих в исключающую группу, а также организаций-недропользователей (коды ОКВЭД </w:t>
      </w:r>
      <w:hyperlink r:id="rId21">
        <w:r>
          <w:rPr>
            <w:color w:val="0000FF"/>
          </w:rPr>
          <w:t>06.10.1</w:t>
        </w:r>
      </w:hyperlink>
      <w:r>
        <w:t xml:space="preserve">, </w:t>
      </w:r>
      <w:hyperlink r:id="rId22">
        <w:r>
          <w:rPr>
            <w:color w:val="0000FF"/>
          </w:rPr>
          <w:t>06.20</w:t>
        </w:r>
      </w:hyperlink>
      <w:r>
        <w:t>) и (или) их аффилированных лиц, не входящих с такими недропользователями в одну группу компаний, или организаций, осуществляющих в качестве основного вида экономической деятельности распределение газообразного топлива по газораспределительным сетям и торговлю твердым, жидким и</w:t>
      </w:r>
      <w:proofErr w:type="gramEnd"/>
      <w:r>
        <w:t xml:space="preserve"> газообразным топливом и подобными продуктами с кодами ОКВЭД </w:t>
      </w:r>
      <w:hyperlink r:id="rId23">
        <w:r>
          <w:rPr>
            <w:color w:val="0000FF"/>
          </w:rPr>
          <w:t>35.22</w:t>
        </w:r>
      </w:hyperlink>
      <w:r>
        <w:t xml:space="preserve">, </w:t>
      </w:r>
      <w:hyperlink r:id="rId24">
        <w:r>
          <w:rPr>
            <w:color w:val="0000FF"/>
          </w:rPr>
          <w:t>46.71</w:t>
        </w:r>
      </w:hyperlink>
      <w:r>
        <w:t xml:space="preserve">, </w:t>
      </w:r>
      <w:proofErr w:type="gramStart"/>
      <w:r>
        <w:t>приобретающих</w:t>
      </w:r>
      <w:proofErr w:type="gramEnd"/>
      <w:r>
        <w:t xml:space="preserve"> газ для перепродажи потребителям, входящим в исключающую группу;</w:t>
      </w:r>
    </w:p>
    <w:p w:rsidR="00504D85" w:rsidRDefault="00504D85">
      <w:pPr>
        <w:pStyle w:val="ConsPlusNormal"/>
        <w:spacing w:before="220"/>
        <w:ind w:firstLine="540"/>
        <w:jc w:val="both"/>
      </w:pPr>
      <w:r>
        <w:t xml:space="preserve">в) с 1 июля 2024 г. оптовые цены на природный газ, добываемый и реализуемый потребителям Российской Федерации, в размере, увеличенном на 11,2 процента с учетом </w:t>
      </w:r>
      <w:hyperlink w:anchor="P12">
        <w:r>
          <w:rPr>
            <w:color w:val="0000FF"/>
          </w:rPr>
          <w:t>подпунктов "а"</w:t>
        </w:r>
      </w:hyperlink>
      <w:r>
        <w:t xml:space="preserve"> и </w:t>
      </w:r>
      <w:hyperlink w:anchor="P13">
        <w:r>
          <w:rPr>
            <w:color w:val="0000FF"/>
          </w:rPr>
          <w:t>"б"</w:t>
        </w:r>
      </w:hyperlink>
      <w:r>
        <w:t xml:space="preserve"> настоящего пункта.</w:t>
      </w:r>
    </w:p>
    <w:p w:rsidR="00504D85" w:rsidRDefault="00504D85">
      <w:pPr>
        <w:pStyle w:val="ConsPlusNormal"/>
        <w:spacing w:before="220"/>
        <w:ind w:firstLine="540"/>
        <w:jc w:val="both"/>
      </w:pPr>
      <w:r>
        <w:t xml:space="preserve">3. Признать утратившим силу </w:t>
      </w:r>
      <w:hyperlink r:id="rId25">
        <w:r>
          <w:rPr>
            <w:color w:val="0000FF"/>
          </w:rPr>
          <w:t>подпункт "г"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w:t>
      </w:r>
      <w:r>
        <w:lastRenderedPageBreak/>
        <w:t>Федерации от 31 декабря 2010 г. N 1205 "О совершенствовании государственного регулирования цен на газ" (Собрание законодательства Российской Федерации, 2011, N 8, ст. 1109).</w:t>
      </w:r>
    </w:p>
    <w:p w:rsidR="00504D85" w:rsidRDefault="00504D85">
      <w:pPr>
        <w:pStyle w:val="ConsPlusNormal"/>
        <w:spacing w:before="220"/>
        <w:ind w:firstLine="540"/>
        <w:jc w:val="both"/>
      </w:pPr>
      <w:r>
        <w:t>4. Настоящее постановление вступает в силу со дня его официального опубликования.</w:t>
      </w:r>
    </w:p>
    <w:p w:rsidR="00504D85" w:rsidRDefault="00504D85">
      <w:pPr>
        <w:pStyle w:val="ConsPlusNormal"/>
        <w:ind w:firstLine="540"/>
        <w:jc w:val="both"/>
      </w:pPr>
    </w:p>
    <w:p w:rsidR="00504D85" w:rsidRDefault="00504D85">
      <w:pPr>
        <w:pStyle w:val="ConsPlusNormal"/>
        <w:jc w:val="right"/>
      </w:pPr>
      <w:r>
        <w:t>Председатель Правительства</w:t>
      </w:r>
    </w:p>
    <w:p w:rsidR="00504D85" w:rsidRDefault="00504D85">
      <w:pPr>
        <w:pStyle w:val="ConsPlusNormal"/>
        <w:jc w:val="right"/>
      </w:pPr>
      <w:r>
        <w:t>Российской Федерации</w:t>
      </w:r>
    </w:p>
    <w:p w:rsidR="00504D85" w:rsidRDefault="00504D85">
      <w:pPr>
        <w:pStyle w:val="ConsPlusNormal"/>
        <w:jc w:val="right"/>
      </w:pPr>
      <w:r>
        <w:t>М.МИШУСТИН</w:t>
      </w:r>
    </w:p>
    <w:p w:rsidR="00504D85" w:rsidRDefault="00504D85">
      <w:pPr>
        <w:pStyle w:val="ConsPlusNormal"/>
        <w:ind w:firstLine="540"/>
        <w:jc w:val="both"/>
      </w:pPr>
    </w:p>
    <w:p w:rsidR="00504D85" w:rsidRDefault="00504D85">
      <w:pPr>
        <w:pStyle w:val="ConsPlusNormal"/>
        <w:ind w:firstLine="540"/>
        <w:jc w:val="both"/>
      </w:pPr>
    </w:p>
    <w:p w:rsidR="00504D85" w:rsidRDefault="00504D85">
      <w:pPr>
        <w:pStyle w:val="ConsPlusNormal"/>
        <w:ind w:firstLine="540"/>
        <w:jc w:val="both"/>
      </w:pPr>
    </w:p>
    <w:p w:rsidR="00504D85" w:rsidRDefault="00504D85">
      <w:pPr>
        <w:pStyle w:val="ConsPlusNormal"/>
        <w:ind w:firstLine="540"/>
        <w:jc w:val="both"/>
      </w:pPr>
    </w:p>
    <w:p w:rsidR="00504D85" w:rsidRDefault="00504D85">
      <w:pPr>
        <w:pStyle w:val="ConsPlusNormal"/>
        <w:ind w:firstLine="540"/>
        <w:jc w:val="both"/>
      </w:pPr>
    </w:p>
    <w:p w:rsidR="00504D85" w:rsidRDefault="00504D85">
      <w:pPr>
        <w:pStyle w:val="ConsPlusNormal"/>
        <w:jc w:val="right"/>
        <w:outlineLvl w:val="0"/>
      </w:pPr>
      <w:r>
        <w:t>Утверждены</w:t>
      </w:r>
    </w:p>
    <w:p w:rsidR="00504D85" w:rsidRDefault="00504D85">
      <w:pPr>
        <w:pStyle w:val="ConsPlusNormal"/>
        <w:jc w:val="right"/>
      </w:pPr>
      <w:r>
        <w:t>постановлением Правительства</w:t>
      </w:r>
    </w:p>
    <w:p w:rsidR="00504D85" w:rsidRDefault="00504D85">
      <w:pPr>
        <w:pStyle w:val="ConsPlusNormal"/>
        <w:jc w:val="right"/>
      </w:pPr>
      <w:r>
        <w:t>Российской Федерации</w:t>
      </w:r>
    </w:p>
    <w:p w:rsidR="00504D85" w:rsidRDefault="00504D85">
      <w:pPr>
        <w:pStyle w:val="ConsPlusNormal"/>
        <w:jc w:val="right"/>
      </w:pPr>
      <w:r>
        <w:t>от 24 ноября 2023 г. N 1979</w:t>
      </w:r>
    </w:p>
    <w:p w:rsidR="00504D85" w:rsidRDefault="00504D85">
      <w:pPr>
        <w:pStyle w:val="ConsPlusNormal"/>
        <w:jc w:val="right"/>
      </w:pPr>
    </w:p>
    <w:p w:rsidR="00504D85" w:rsidRDefault="00504D85">
      <w:pPr>
        <w:pStyle w:val="ConsPlusTitle"/>
        <w:jc w:val="center"/>
      </w:pPr>
      <w:bookmarkStart w:id="2" w:name="P31"/>
      <w:bookmarkEnd w:id="2"/>
      <w:r>
        <w:t>ИЗМЕНЕНИЯ,</w:t>
      </w:r>
    </w:p>
    <w:p w:rsidR="00504D85" w:rsidRDefault="00504D85">
      <w:pPr>
        <w:pStyle w:val="ConsPlusTitle"/>
        <w:jc w:val="center"/>
      </w:pPr>
      <w:r>
        <w:t>КОТОРЫЕ ВНОСЯТСЯ В АКТЫ ПРАВИТЕЛЬСТВА РОССИЙСКОЙ ФЕДЕРАЦИИ</w:t>
      </w:r>
    </w:p>
    <w:p w:rsidR="00504D85" w:rsidRDefault="00504D85">
      <w:pPr>
        <w:pStyle w:val="ConsPlusNormal"/>
        <w:jc w:val="center"/>
      </w:pPr>
    </w:p>
    <w:p w:rsidR="00504D85" w:rsidRDefault="00504D85">
      <w:pPr>
        <w:pStyle w:val="ConsPlusNormal"/>
        <w:ind w:firstLine="540"/>
        <w:jc w:val="both"/>
      </w:pPr>
      <w:r>
        <w:t xml:space="preserve">1. </w:t>
      </w:r>
      <w:proofErr w:type="gramStart"/>
      <w:r>
        <w:t xml:space="preserve">В Основных </w:t>
      </w:r>
      <w:hyperlink r:id="rId26">
        <w:r>
          <w:rPr>
            <w:color w:val="0000FF"/>
          </w:rPr>
          <w:t>положениях</w:t>
        </w:r>
      </w:hyperlink>
      <w:r>
        <w:t xml:space="preserve">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w:t>
      </w:r>
      <w:proofErr w:type="gramEnd"/>
      <w:r>
        <w:t xml:space="preserve"> </w:t>
      </w:r>
      <w:proofErr w:type="gramStart"/>
      <w:r>
        <w:t>природного газа до магистрального газопровода, утвержденных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w:t>
      </w:r>
      <w:proofErr w:type="gramEnd"/>
      <w:r>
        <w:t xml:space="preserve"> </w:t>
      </w:r>
      <w:proofErr w:type="gramStart"/>
      <w:r>
        <w:t>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(Собрание законодательства Российской Федерации, 2001, N 2, ст. 175; 2002, N 21, ст. 2001; 2014, N 2, ст. 137; N 18, ст. 2185; 2018, N 6, ст. 897; 2019, N 8, ст. 801;</w:t>
      </w:r>
      <w:proofErr w:type="gramEnd"/>
      <w:r>
        <w:t xml:space="preserve"> </w:t>
      </w:r>
      <w:proofErr w:type="gramStart"/>
      <w:r>
        <w:t>2020, N 13, ст. 1919; 2021, N 38, ст. 6643; N 47, ст. 7835; 2022, N 25, ст. 4334; N 49, ст. 8695):</w:t>
      </w:r>
      <w:proofErr w:type="gramEnd"/>
    </w:p>
    <w:p w:rsidR="00504D85" w:rsidRDefault="00504D85">
      <w:pPr>
        <w:pStyle w:val="ConsPlusNormal"/>
        <w:spacing w:before="220"/>
        <w:ind w:firstLine="540"/>
        <w:jc w:val="both"/>
      </w:pPr>
      <w:proofErr w:type="gramStart"/>
      <w:r>
        <w:t xml:space="preserve">а) в </w:t>
      </w:r>
      <w:hyperlink r:id="rId27">
        <w:r>
          <w:rPr>
            <w:color w:val="0000FF"/>
          </w:rPr>
          <w:t>абзаце одиннадцатом пункта 2</w:t>
        </w:r>
      </w:hyperlink>
      <w:r>
        <w:t xml:space="preserve"> слова "(или цена на газ, определяемая на основе утвержденной федеральным органом исполнительной власти в сфере государственного регулирования цен (тарифов) формулы цены на газ, предусматривающей достижение равной доходности поставок газа на внешний и внутренний рынки и учитывающей стоимость альтернативных видов топлива)" исключить;</w:t>
      </w:r>
      <w:proofErr w:type="gramEnd"/>
    </w:p>
    <w:p w:rsidR="00504D85" w:rsidRDefault="00504D85">
      <w:pPr>
        <w:pStyle w:val="ConsPlusNormal"/>
        <w:spacing w:before="220"/>
        <w:ind w:firstLine="540"/>
        <w:jc w:val="both"/>
      </w:pPr>
      <w:r>
        <w:t xml:space="preserve">б) </w:t>
      </w:r>
      <w:hyperlink r:id="rId28">
        <w:r>
          <w:rPr>
            <w:color w:val="0000FF"/>
          </w:rPr>
          <w:t>абзац третий пункта 6</w:t>
        </w:r>
      </w:hyperlink>
      <w:r>
        <w:t xml:space="preserve"> изложить в следующей редакции:</w:t>
      </w:r>
    </w:p>
    <w:p w:rsidR="00504D85" w:rsidRDefault="00504D85">
      <w:pPr>
        <w:pStyle w:val="ConsPlusNormal"/>
        <w:spacing w:before="220"/>
        <w:ind w:firstLine="540"/>
        <w:jc w:val="both"/>
      </w:pPr>
      <w:proofErr w:type="gramStart"/>
      <w:r>
        <w:t>"На втором этапе определяется переходный период, в течение которого создаются условия для практического применения рыночных принципов ценообразования, в том числе формирования биржевых и внебиржевых индикаторов цен на природный газ, обеспеченных увеличением объемов реализации природного газа на организованных торгах, создающие основу для ограничения сферы государственного регулирования ценообразования в газовой отрасли, установления тарифов на услуги по транспортировке газа по магистральным газопроводам и</w:t>
      </w:r>
      <w:proofErr w:type="gramEnd"/>
      <w:r>
        <w:t xml:space="preserve"> </w:t>
      </w:r>
      <w:r>
        <w:lastRenderedPageBreak/>
        <w:t>газораспределительным сетям</w:t>
      </w:r>
      <w:proofErr w:type="gramStart"/>
      <w:r>
        <w:t>.";</w:t>
      </w:r>
      <w:proofErr w:type="gramEnd"/>
    </w:p>
    <w:p w:rsidR="00504D85" w:rsidRDefault="00504D85">
      <w:pPr>
        <w:pStyle w:val="ConsPlusNormal"/>
        <w:spacing w:before="220"/>
        <w:ind w:firstLine="540"/>
        <w:jc w:val="both"/>
      </w:pPr>
      <w:r>
        <w:t xml:space="preserve">в) </w:t>
      </w:r>
      <w:hyperlink r:id="rId29">
        <w:r>
          <w:rPr>
            <w:color w:val="0000FF"/>
          </w:rPr>
          <w:t>абзац первый пункта 11(1)</w:t>
        </w:r>
      </w:hyperlink>
      <w:r>
        <w:t xml:space="preserve"> признать утратившим силу;</w:t>
      </w:r>
    </w:p>
    <w:p w:rsidR="00504D85" w:rsidRDefault="00504D85">
      <w:pPr>
        <w:pStyle w:val="ConsPlusNormal"/>
        <w:spacing w:before="220"/>
        <w:ind w:firstLine="540"/>
        <w:jc w:val="both"/>
      </w:pPr>
      <w:r>
        <w:t xml:space="preserve">г) в </w:t>
      </w:r>
      <w:hyperlink r:id="rId30">
        <w:r>
          <w:rPr>
            <w:color w:val="0000FF"/>
          </w:rPr>
          <w:t>пункте 11(2)</w:t>
        </w:r>
      </w:hyperlink>
      <w:r>
        <w:t xml:space="preserve"> слова "устанавливаемых Правительством Российской Федерации средних параметров ежегодного изменения оптовых цен на газ и прогнозного уровня инфляции" заменить словами "параметров, установленных прогнозом социально-экономического развития Российской Федерации на соответствующий год";</w:t>
      </w:r>
    </w:p>
    <w:p w:rsidR="00504D85" w:rsidRDefault="00504D85">
      <w:pPr>
        <w:pStyle w:val="ConsPlusNormal"/>
        <w:spacing w:before="220"/>
        <w:ind w:firstLine="540"/>
        <w:jc w:val="both"/>
      </w:pPr>
      <w:r>
        <w:t xml:space="preserve">д) в </w:t>
      </w:r>
      <w:hyperlink r:id="rId31">
        <w:r>
          <w:rPr>
            <w:color w:val="0000FF"/>
          </w:rPr>
          <w:t>пункте 15(1)</w:t>
        </w:r>
      </w:hyperlink>
      <w:r>
        <w:t>:</w:t>
      </w:r>
    </w:p>
    <w:p w:rsidR="00504D85" w:rsidRDefault="00504D85">
      <w:pPr>
        <w:pStyle w:val="ConsPlusNormal"/>
        <w:spacing w:before="220"/>
        <w:ind w:firstLine="540"/>
        <w:jc w:val="both"/>
      </w:pPr>
      <w:hyperlink r:id="rId32">
        <w:r>
          <w:rPr>
            <w:color w:val="0000FF"/>
          </w:rPr>
          <w:t>абзац первый</w:t>
        </w:r>
      </w:hyperlink>
      <w:r>
        <w:t xml:space="preserve"> изложить в следующей редакции:</w:t>
      </w:r>
    </w:p>
    <w:p w:rsidR="00504D85" w:rsidRDefault="00504D85">
      <w:pPr>
        <w:pStyle w:val="ConsPlusNormal"/>
        <w:spacing w:before="220"/>
        <w:ind w:firstLine="540"/>
        <w:jc w:val="both"/>
      </w:pPr>
      <w:r>
        <w:t xml:space="preserve">"15(1). </w:t>
      </w:r>
      <w:proofErr w:type="gramStart"/>
      <w:r>
        <w:t>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максимальным и минимальным уровнями оптовых цен с учетом</w:t>
      </w:r>
      <w:proofErr w:type="gramEnd"/>
      <w:r>
        <w:t xml:space="preserve"> </w:t>
      </w:r>
      <w:proofErr w:type="gramStart"/>
      <w:r>
        <w:t xml:space="preserve">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 (за исключением населения, организаций, осуществляющих по состоянию на 1 декабря 2023 г. в качестве основного вида экономической 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w:t>
      </w:r>
      <w:hyperlink r:id="rId33">
        <w:r>
          <w:rPr>
            <w:color w:val="0000FF"/>
          </w:rPr>
          <w:t>35.11.1</w:t>
        </w:r>
      </w:hyperlink>
      <w:r>
        <w:t xml:space="preserve">, </w:t>
      </w:r>
      <w:hyperlink r:id="rId34">
        <w:r>
          <w:rPr>
            <w:color w:val="0000FF"/>
          </w:rPr>
          <w:t>35.30.11</w:t>
        </w:r>
      </w:hyperlink>
      <w:r>
        <w:t xml:space="preserve">, </w:t>
      </w:r>
      <w:hyperlink r:id="rId35">
        <w:r>
          <w:rPr>
            <w:color w:val="0000FF"/>
          </w:rPr>
          <w:t>35.30.14</w:t>
        </w:r>
      </w:hyperlink>
      <w:r>
        <w:t xml:space="preserve">, </w:t>
      </w:r>
      <w:hyperlink r:id="rId36">
        <w:r>
          <w:rPr>
            <w:color w:val="0000FF"/>
          </w:rPr>
          <w:t>35.30.2</w:t>
        </w:r>
      </w:hyperlink>
      <w:r>
        <w:t xml:space="preserve">, </w:t>
      </w:r>
      <w:hyperlink r:id="rId37">
        <w:r>
          <w:rPr>
            <w:color w:val="0000FF"/>
          </w:rPr>
          <w:t>35.30.3</w:t>
        </w:r>
      </w:hyperlink>
      <w:r>
        <w:t>, организаций</w:t>
      </w:r>
      <w:proofErr w:type="gramEnd"/>
      <w:r>
        <w:t xml:space="preserve">, </w:t>
      </w:r>
      <w:proofErr w:type="gramStart"/>
      <w:r>
        <w:t xml:space="preserve">осуществляющих деятельность с указанными кодами </w:t>
      </w:r>
      <w:hyperlink r:id="rId38">
        <w:r>
          <w:rPr>
            <w:color w:val="0000FF"/>
          </w:rPr>
          <w:t>ОКВЭД</w:t>
        </w:r>
      </w:hyperlink>
      <w:r>
        <w:t xml:space="preserve">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w:t>
      </w:r>
      <w:hyperlink r:id="rId39">
        <w:r>
          <w:rPr>
            <w:color w:val="0000FF"/>
          </w:rPr>
          <w:t>35.11</w:t>
        </w:r>
      </w:hyperlink>
      <w:r>
        <w:t xml:space="preserve">, </w:t>
      </w:r>
      <w:hyperlink r:id="rId40">
        <w:r>
          <w:rPr>
            <w:color w:val="0000FF"/>
          </w:rPr>
          <w:t>35.3</w:t>
        </w:r>
      </w:hyperlink>
      <w:r>
        <w:t xml:space="preserve">, </w:t>
      </w:r>
      <w:hyperlink r:id="rId41">
        <w:r>
          <w:rPr>
            <w:color w:val="0000FF"/>
          </w:rPr>
          <w:t>35.30</w:t>
        </w:r>
      </w:hyperlink>
      <w:r>
        <w:t xml:space="preserve">, </w:t>
      </w:r>
      <w:hyperlink r:id="rId42">
        <w:r>
          <w:rPr>
            <w:color w:val="0000FF"/>
          </w:rPr>
          <w:t>35.30.1</w:t>
        </w:r>
      </w:hyperlink>
      <w:r>
        <w:t xml:space="preserve">, </w:t>
      </w:r>
      <w:hyperlink r:id="rId43">
        <w:r>
          <w:rPr>
            <w:color w:val="0000FF"/>
          </w:rPr>
          <w:t>68.32.1</w:t>
        </w:r>
      </w:hyperlink>
      <w:r>
        <w:t>, организаций, выручка от реализации тепловой и (или) электрической энергии (мощности) которых составляет не менее 75 процентов общей выручки, организаций, выручка от реализации тепловой и (или) электрической энергии (мощности) которых составляет</w:t>
      </w:r>
      <w:proofErr w:type="gramEnd"/>
      <w:r>
        <w:t xml:space="preserve"> </w:t>
      </w:r>
      <w:proofErr w:type="gramStart"/>
      <w:r>
        <w:t xml:space="preserve">менее 75 процентов общей выручки, приобретающих газ в объемах, необходимых для производства и реализации тепловой и (или) электрической энергии (мощности) по регулируемым ценам (тарифам) (далее - исключающая группа), либо организаций-недропользователей (коды ОКВЭД </w:t>
      </w:r>
      <w:hyperlink r:id="rId44">
        <w:r>
          <w:rPr>
            <w:color w:val="0000FF"/>
          </w:rPr>
          <w:t>06.10.1</w:t>
        </w:r>
      </w:hyperlink>
      <w:r>
        <w:t xml:space="preserve">, </w:t>
      </w:r>
      <w:hyperlink r:id="rId45">
        <w:r>
          <w:rPr>
            <w:color w:val="0000FF"/>
          </w:rPr>
          <w:t>06.20</w:t>
        </w:r>
      </w:hyperlink>
      <w:r>
        <w:t>) и (или) их аффилированных лиц, не входящих с такими недропользователями в одну группу компаний, или организаций, осуществляющих в качестве основного вида экономической деятельности распределение газообразного топлива по</w:t>
      </w:r>
      <w:proofErr w:type="gramEnd"/>
      <w:r>
        <w:t xml:space="preserve"> газораспределительным сетям и торговлю твердым, жидким и газообразным топливом и подобными продуктами с кодами ОКВЭД </w:t>
      </w:r>
      <w:hyperlink r:id="rId46">
        <w:r>
          <w:rPr>
            <w:color w:val="0000FF"/>
          </w:rPr>
          <w:t>35.22</w:t>
        </w:r>
      </w:hyperlink>
      <w:r>
        <w:t xml:space="preserve">, </w:t>
      </w:r>
      <w:hyperlink r:id="rId47">
        <w:r>
          <w:rPr>
            <w:color w:val="0000FF"/>
          </w:rPr>
          <w:t>46.71</w:t>
        </w:r>
      </w:hyperlink>
      <w:r>
        <w:t xml:space="preserve">, </w:t>
      </w:r>
      <w:proofErr w:type="gramStart"/>
      <w:r>
        <w:t>приобретающих</w:t>
      </w:r>
      <w:proofErr w:type="gramEnd"/>
      <w:r>
        <w:t xml:space="preserve"> газ для перепродажи потребителям, входящим в исключающую группу:";</w:t>
      </w:r>
    </w:p>
    <w:p w:rsidR="00504D85" w:rsidRDefault="00504D85">
      <w:pPr>
        <w:pStyle w:val="ConsPlusNormal"/>
        <w:spacing w:before="220"/>
        <w:ind w:firstLine="540"/>
        <w:jc w:val="both"/>
      </w:pPr>
      <w:hyperlink r:id="rId48">
        <w:r>
          <w:rPr>
            <w:color w:val="0000FF"/>
          </w:rPr>
          <w:t>дополнить</w:t>
        </w:r>
      </w:hyperlink>
      <w:r>
        <w:t xml:space="preserve"> абзацем следующего содержания:</w:t>
      </w:r>
    </w:p>
    <w:p w:rsidR="00504D85" w:rsidRDefault="00504D85">
      <w:pPr>
        <w:pStyle w:val="ConsPlusNormal"/>
        <w:spacing w:before="220"/>
        <w:ind w:firstLine="540"/>
        <w:jc w:val="both"/>
      </w:pPr>
      <w:r>
        <w:t>"До 2029 года допускается установление регулируемых оптовых цен на газ с дифференциацией для различных категорий потребителей, в том числе установление указанных цен ниже экономически обоснованного уровня для одних категорий потребителей за счет установления цен выше экономически обоснованного уровня для других категорий потребителей</w:t>
      </w:r>
      <w:proofErr w:type="gramStart"/>
      <w:r>
        <w:t>.";</w:t>
      </w:r>
      <w:proofErr w:type="gramEnd"/>
    </w:p>
    <w:p w:rsidR="00504D85" w:rsidRDefault="00504D85">
      <w:pPr>
        <w:pStyle w:val="ConsPlusNormal"/>
        <w:spacing w:before="220"/>
        <w:ind w:firstLine="540"/>
        <w:jc w:val="both"/>
      </w:pPr>
      <w:r>
        <w:t xml:space="preserve">е) </w:t>
      </w:r>
      <w:hyperlink r:id="rId49">
        <w:r>
          <w:rPr>
            <w:color w:val="0000FF"/>
          </w:rPr>
          <w:t>дополнить</w:t>
        </w:r>
      </w:hyperlink>
      <w:r>
        <w:t xml:space="preserve"> пунктом 15(1.1) следующего содержания:</w:t>
      </w:r>
    </w:p>
    <w:p w:rsidR="00504D85" w:rsidRDefault="00504D85">
      <w:pPr>
        <w:pStyle w:val="ConsPlusNormal"/>
        <w:spacing w:before="220"/>
        <w:ind w:firstLine="540"/>
        <w:jc w:val="both"/>
      </w:pPr>
      <w:r>
        <w:t xml:space="preserve">"15(1.1). </w:t>
      </w:r>
      <w:proofErr w:type="gramStart"/>
      <w:r>
        <w:t xml:space="preserve">Оптовые цены на газ, добываемый публичным акционерным обществом "Газпром" и его аффилированными лицами (за исключением оптовых цен на природный газ, реализуемый на организованных торгах), на выходе из системы магистрального газопроводного транспорта определяются по соглашению сторон при заключении договоров поставки газа (в том числе долгосрочных), включая случаи его перепродажи, в диапазоне между предельными </w:t>
      </w:r>
      <w:r>
        <w:lastRenderedPageBreak/>
        <w:t>максимальным и минимальным уровнями оптовых цен с учетом</w:t>
      </w:r>
      <w:proofErr w:type="gramEnd"/>
      <w:r>
        <w:t xml:space="preserve"> особенностей, определяемых федеральным органом исполнительной власти в сфере государственного регулирования цен (тарифов) для следующих групп потребителей:</w:t>
      </w:r>
    </w:p>
    <w:p w:rsidR="00504D85" w:rsidRDefault="00504D85">
      <w:pPr>
        <w:pStyle w:val="ConsPlusNormal"/>
        <w:spacing w:before="220"/>
        <w:ind w:firstLine="540"/>
        <w:jc w:val="both"/>
      </w:pPr>
      <w:proofErr w:type="gramStart"/>
      <w:r>
        <w:t xml:space="preserve">а) исключающая группа, организации-недропользователи (коды ОКВЭД </w:t>
      </w:r>
      <w:hyperlink r:id="rId50">
        <w:r>
          <w:rPr>
            <w:color w:val="0000FF"/>
          </w:rPr>
          <w:t>06.10.1</w:t>
        </w:r>
      </w:hyperlink>
      <w:r>
        <w:t xml:space="preserve">, </w:t>
      </w:r>
      <w:hyperlink r:id="rId51">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52">
        <w:r>
          <w:rPr>
            <w:color w:val="0000FF"/>
          </w:rPr>
          <w:t>35.22</w:t>
        </w:r>
      </w:hyperlink>
      <w:r>
        <w:t xml:space="preserve">, </w:t>
      </w:r>
      <w:hyperlink r:id="rId53">
        <w:r>
          <w:rPr>
            <w:color w:val="0000FF"/>
          </w:rPr>
          <w:t>46.71</w:t>
        </w:r>
      </w:hyperlink>
      <w:r>
        <w:t>, приобретающие газ для перепродажи потребителям, входящим в исключающую</w:t>
      </w:r>
      <w:proofErr w:type="gramEnd"/>
      <w:r>
        <w:t xml:space="preserve"> </w:t>
      </w:r>
      <w:proofErr w:type="gramStart"/>
      <w:r>
        <w:t>группу, впервые заключившие договоры поставки газа с началом поставки после 1 июля 2007 г. (кроме организаций, создаваемых в результате реорганизации организаций, ранее покупавших газ, добываемый открытым акционерным обществом "Газпром" и его аффилированными лицами, или организаций, которые приобрели (в том числе в порядке правопреемства) газопотребляющее оборудование, ранее обеспечивавшееся газом, добываемым открытым акционерным обществом "Газпром" и его аффилированными лицами);</w:t>
      </w:r>
      <w:proofErr w:type="gramEnd"/>
    </w:p>
    <w:p w:rsidR="00504D85" w:rsidRDefault="00504D85">
      <w:pPr>
        <w:pStyle w:val="ConsPlusNormal"/>
        <w:spacing w:before="220"/>
        <w:ind w:firstLine="540"/>
        <w:jc w:val="both"/>
      </w:pPr>
      <w:proofErr w:type="gramStart"/>
      <w:r>
        <w:t xml:space="preserve">б) исключающая группа, организации-недропользователи (коды ОКВЭД </w:t>
      </w:r>
      <w:hyperlink r:id="rId54">
        <w:r>
          <w:rPr>
            <w:color w:val="0000FF"/>
          </w:rPr>
          <w:t>06.10.1</w:t>
        </w:r>
      </w:hyperlink>
      <w:r>
        <w:t xml:space="preserve">, </w:t>
      </w:r>
      <w:hyperlink r:id="rId55">
        <w:r>
          <w:rPr>
            <w:color w:val="0000FF"/>
          </w:rPr>
          <w:t>06.20</w:t>
        </w:r>
      </w:hyperlink>
      <w:r>
        <w:t xml:space="preserve">) и (или) их аффилированные лица, не входящие с такими недропользователями в одну группу компаний, или организации, осуществляющие в качестве основного вида экономической деятельности распределение газообразного топлива по газораспределительным сетям и торговлю твердым, жидким и газообразным топливом и подобными продуктами с кодами ОКВЭД </w:t>
      </w:r>
      <w:hyperlink r:id="rId56">
        <w:r>
          <w:rPr>
            <w:color w:val="0000FF"/>
          </w:rPr>
          <w:t>35.22</w:t>
        </w:r>
      </w:hyperlink>
      <w:r>
        <w:t xml:space="preserve">, </w:t>
      </w:r>
      <w:hyperlink r:id="rId57">
        <w:r>
          <w:rPr>
            <w:color w:val="0000FF"/>
          </w:rPr>
          <w:t>46.71</w:t>
        </w:r>
      </w:hyperlink>
      <w:r>
        <w:t>, приобретающие газ для перепродажи потребителям, входящим в исключающую</w:t>
      </w:r>
      <w:proofErr w:type="gramEnd"/>
      <w:r>
        <w:t xml:space="preserve"> группу, приобретающие газ сверх объемов, зафиксированных в договорах поставки газа на 2007 год (без учета дополнительных объемов газа, предусмотренных дополнительными соглашениями к указанным договорам)</w:t>
      </w:r>
      <w:proofErr w:type="gramStart"/>
      <w:r>
        <w:t>."</w:t>
      </w:r>
      <w:proofErr w:type="gramEnd"/>
      <w:r>
        <w:t>;</w:t>
      </w:r>
    </w:p>
    <w:p w:rsidR="00504D85" w:rsidRDefault="00504D85">
      <w:pPr>
        <w:pStyle w:val="ConsPlusNormal"/>
        <w:spacing w:before="220"/>
        <w:ind w:firstLine="540"/>
        <w:jc w:val="both"/>
      </w:pPr>
      <w:r>
        <w:t xml:space="preserve">ж) </w:t>
      </w:r>
      <w:hyperlink r:id="rId58">
        <w:r>
          <w:rPr>
            <w:color w:val="0000FF"/>
          </w:rPr>
          <w:t>пункт 15(2)</w:t>
        </w:r>
      </w:hyperlink>
      <w:r>
        <w:t xml:space="preserve"> изложить в следующей редакции:</w:t>
      </w:r>
    </w:p>
    <w:p w:rsidR="00504D85" w:rsidRDefault="00504D85">
      <w:pPr>
        <w:pStyle w:val="ConsPlusNormal"/>
        <w:spacing w:before="220"/>
        <w:ind w:firstLine="540"/>
        <w:jc w:val="both"/>
      </w:pPr>
      <w:r>
        <w:t>"15(2). В качестве предельного минимального уровня оптовых цен на газ для потребителей, предусмотренных пунктами 15(1) и 15(1.1) настоящих Основных положений, используются регулируемые оптовые цены на газ.</w:t>
      </w:r>
    </w:p>
    <w:p w:rsidR="00504D85" w:rsidRDefault="00504D85">
      <w:pPr>
        <w:pStyle w:val="ConsPlusNormal"/>
        <w:spacing w:before="220"/>
        <w:ind w:firstLine="540"/>
        <w:jc w:val="both"/>
      </w:pPr>
      <w:proofErr w:type="gramStart"/>
      <w:r>
        <w:t>В качестве предельного максимального уровня оптовых цен на газ для потребителей, предусмотренных пунктами 15(1) и 15(1.1) настоящих Основных положений, используются регулируемые оптовые цены на газ, увеличенные на 1,8 процента.";</w:t>
      </w:r>
      <w:proofErr w:type="gramEnd"/>
    </w:p>
    <w:p w:rsidR="00504D85" w:rsidRDefault="00504D85">
      <w:pPr>
        <w:pStyle w:val="ConsPlusNormal"/>
        <w:spacing w:before="220"/>
        <w:ind w:firstLine="540"/>
        <w:jc w:val="both"/>
      </w:pPr>
      <w:r>
        <w:t xml:space="preserve">з) в </w:t>
      </w:r>
      <w:hyperlink r:id="rId59">
        <w:r>
          <w:rPr>
            <w:color w:val="0000FF"/>
          </w:rPr>
          <w:t>пункте 15(3)</w:t>
        </w:r>
      </w:hyperlink>
      <w:r>
        <w:t xml:space="preserve"> слова "в соответствии с пунктами 15(1)" заменить </w:t>
      </w:r>
      <w:proofErr w:type="gramStart"/>
      <w:r>
        <w:t>на</w:t>
      </w:r>
      <w:proofErr w:type="gramEnd"/>
      <w:r>
        <w:t xml:space="preserve"> "в соответствии с пунктами 15(1), 15(1.1)";</w:t>
      </w:r>
    </w:p>
    <w:p w:rsidR="00504D85" w:rsidRDefault="00504D85">
      <w:pPr>
        <w:pStyle w:val="ConsPlusNormal"/>
        <w:spacing w:before="220"/>
        <w:ind w:firstLine="540"/>
        <w:jc w:val="both"/>
      </w:pPr>
      <w:r>
        <w:t xml:space="preserve">и) </w:t>
      </w:r>
      <w:hyperlink r:id="rId60">
        <w:r>
          <w:rPr>
            <w:color w:val="0000FF"/>
          </w:rPr>
          <w:t>абзац первый пункта 24(1)</w:t>
        </w:r>
      </w:hyperlink>
      <w:r>
        <w:t xml:space="preserve"> изложить в следующей редакции:</w:t>
      </w:r>
    </w:p>
    <w:p w:rsidR="00504D85" w:rsidRDefault="00504D85">
      <w:pPr>
        <w:pStyle w:val="ConsPlusNormal"/>
        <w:spacing w:before="220"/>
        <w:ind w:firstLine="540"/>
        <w:jc w:val="both"/>
      </w:pPr>
      <w:r>
        <w:t>"24(1). К заявлению об установлении (изменении) оптовых цен на газ прилагаются следующие материалы</w:t>
      </w:r>
      <w:proofErr w:type="gramStart"/>
      <w:r>
        <w:t>:"</w:t>
      </w:r>
      <w:proofErr w:type="gramEnd"/>
      <w:r>
        <w:t>;</w:t>
      </w:r>
    </w:p>
    <w:p w:rsidR="00504D85" w:rsidRDefault="00504D85">
      <w:pPr>
        <w:pStyle w:val="ConsPlusNormal"/>
        <w:spacing w:before="220"/>
        <w:ind w:firstLine="540"/>
        <w:jc w:val="both"/>
      </w:pPr>
      <w:r>
        <w:t xml:space="preserve">к) в </w:t>
      </w:r>
      <w:hyperlink r:id="rId61">
        <w:r>
          <w:rPr>
            <w:color w:val="0000FF"/>
          </w:rPr>
          <w:t>пункте 26(22)</w:t>
        </w:r>
      </w:hyperlink>
      <w:r>
        <w:t>:</w:t>
      </w:r>
    </w:p>
    <w:p w:rsidR="00504D85" w:rsidRDefault="00504D85">
      <w:pPr>
        <w:pStyle w:val="ConsPlusNormal"/>
        <w:spacing w:before="220"/>
        <w:ind w:firstLine="540"/>
        <w:jc w:val="both"/>
      </w:pPr>
      <w:r>
        <w:t xml:space="preserve">в </w:t>
      </w:r>
      <w:hyperlink r:id="rId62">
        <w:r>
          <w:rPr>
            <w:color w:val="0000FF"/>
          </w:rPr>
          <w:t>абзаце пятом</w:t>
        </w:r>
      </w:hyperlink>
      <w:r>
        <w:t xml:space="preserve"> слова "до 1 января 2024 г." заменить словами "до 1 января 2026 г.";</w:t>
      </w:r>
    </w:p>
    <w:p w:rsidR="00504D85" w:rsidRDefault="00504D85">
      <w:pPr>
        <w:pStyle w:val="ConsPlusNormal"/>
        <w:spacing w:before="220"/>
        <w:ind w:firstLine="540"/>
        <w:jc w:val="both"/>
      </w:pPr>
      <w:r>
        <w:t xml:space="preserve">в </w:t>
      </w:r>
      <w:hyperlink r:id="rId63">
        <w:r>
          <w:rPr>
            <w:color w:val="0000FF"/>
          </w:rPr>
          <w:t>абзаце одиннадцатом</w:t>
        </w:r>
      </w:hyperlink>
      <w:r>
        <w:t xml:space="preserve"> слова "абзаце втором" заменить словами "абзацах втором - четвертом";</w:t>
      </w:r>
    </w:p>
    <w:p w:rsidR="00504D85" w:rsidRDefault="00504D85">
      <w:pPr>
        <w:pStyle w:val="ConsPlusNormal"/>
        <w:spacing w:before="220"/>
        <w:ind w:firstLine="540"/>
        <w:jc w:val="both"/>
      </w:pPr>
      <w:r>
        <w:t xml:space="preserve">л) в </w:t>
      </w:r>
      <w:hyperlink r:id="rId64">
        <w:r>
          <w:rPr>
            <w:color w:val="0000FF"/>
          </w:rPr>
          <w:t>пунктах 26(25)</w:t>
        </w:r>
      </w:hyperlink>
      <w:r>
        <w:t xml:space="preserve"> и </w:t>
      </w:r>
      <w:hyperlink r:id="rId65">
        <w:r>
          <w:rPr>
            <w:color w:val="0000FF"/>
          </w:rPr>
          <w:t>26(26)</w:t>
        </w:r>
      </w:hyperlink>
      <w:r>
        <w:t xml:space="preserve"> слова "абзаце втором" заменить словами "абзацах втором - четвертом".</w:t>
      </w:r>
    </w:p>
    <w:p w:rsidR="00504D85" w:rsidRDefault="00504D85">
      <w:pPr>
        <w:pStyle w:val="ConsPlusNormal"/>
        <w:spacing w:before="220"/>
        <w:ind w:firstLine="540"/>
        <w:jc w:val="both"/>
      </w:pPr>
      <w:r>
        <w:t xml:space="preserve">2. </w:t>
      </w:r>
      <w:hyperlink r:id="rId66">
        <w:proofErr w:type="gramStart"/>
        <w:r>
          <w:rPr>
            <w:color w:val="0000FF"/>
          </w:rPr>
          <w:t>Абзац седьмой пункта 1</w:t>
        </w:r>
      </w:hyperlink>
      <w:r>
        <w:t xml:space="preserve"> постановления Правительства Российской Федерации от 3 мая </w:t>
      </w:r>
      <w:r>
        <w:lastRenderedPageBreak/>
        <w:t>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(Собрание законодательства Российской Федерации, 2001, N 19, ст. 1942;</w:t>
      </w:r>
      <w:proofErr w:type="gramEnd"/>
      <w:r>
        <w:t xml:space="preserve"> </w:t>
      </w:r>
      <w:proofErr w:type="gramStart"/>
      <w:r>
        <w:t>2020, N 21, ст. 3282; 2021, N 38, ст. 6643; 2022, N 25, ст. 4334) изложить в следующей редакции:</w:t>
      </w:r>
      <w:proofErr w:type="gramEnd"/>
    </w:p>
    <w:p w:rsidR="00504D85" w:rsidRDefault="00504D85">
      <w:pPr>
        <w:pStyle w:val="ConsPlusNormal"/>
        <w:spacing w:before="220"/>
        <w:ind w:firstLine="540"/>
        <w:jc w:val="both"/>
      </w:pPr>
      <w:proofErr w:type="gramStart"/>
      <w:r>
        <w:t xml:space="preserve">"После 2025 года установление размера специальной надбавки к тарифу на услуги по транспортировке газа по газораспределительным сетям для конечных потребителей осуществляется исходя из необходимости финансирования мероприятий программ газификации жилищно-коммунального хозяйства, промышленных и иных организаций, за исключением компенсации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в отношении категорий заявителей, указанных в </w:t>
      </w:r>
      <w:hyperlink r:id="rId67">
        <w:r>
          <w:rPr>
            <w:color w:val="0000FF"/>
          </w:rPr>
          <w:t>абзацах втором</w:t>
        </w:r>
        <w:proofErr w:type="gramEnd"/>
      </w:hyperlink>
      <w:r>
        <w:t xml:space="preserve"> - </w:t>
      </w:r>
      <w:hyperlink r:id="rId68">
        <w:proofErr w:type="gramStart"/>
        <w:r>
          <w:rPr>
            <w:color w:val="0000FF"/>
          </w:rPr>
          <w:t>четвертом пункта 26(22)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w:t>
      </w:r>
      <w:proofErr w:type="gramEnd"/>
      <w:r>
        <w:t xml:space="preserve"> </w:t>
      </w:r>
      <w:proofErr w:type="gramStart"/>
      <w:r>
        <w:t>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кроме средств, предназначенных для возврата средств, привлеченных газораспределительной организацией по договорам, заключенным в 2021</w:t>
      </w:r>
      <w:proofErr w:type="gramEnd"/>
      <w:r>
        <w:t xml:space="preserve"> году, на реализацию мероприятий по технологическому присоединению газоиспользующего оборудования указанных заявителей и уплату процентов за пользование ими, а также на выкуп объектов капитального строительства, построенных за счет единого оператора газификации или регионального оператора газификации в ходе реализации указанных мероприятий</w:t>
      </w:r>
      <w:proofErr w:type="gramStart"/>
      <w:r>
        <w:t>.".</w:t>
      </w:r>
      <w:proofErr w:type="gramEnd"/>
    </w:p>
    <w:p w:rsidR="00504D85" w:rsidRDefault="00504D85">
      <w:pPr>
        <w:pStyle w:val="ConsPlusNormal"/>
        <w:spacing w:before="220"/>
        <w:ind w:firstLine="540"/>
        <w:jc w:val="both"/>
      </w:pPr>
      <w:r>
        <w:t xml:space="preserve">3. </w:t>
      </w:r>
      <w:hyperlink r:id="rId69">
        <w:proofErr w:type="gramStart"/>
        <w:r>
          <w:rPr>
            <w:color w:val="0000FF"/>
          </w:rPr>
          <w:t>Пункт 3</w:t>
        </w:r>
      </w:hyperlink>
      <w:r>
        <w:t xml:space="preserve"> Правил определения средней по Единой системе газоснабжения расчетной цены на газ горючий природный, поставляемый потребителям Российской Федерации (кроме населения), расчетной цены реализации газа за пределы территорий государств - участников Содружества Независимых Государств и расходов на транспортировку и хранение газа за пределами территорий государств - членов Таможенного союза при его реализации за пределы территорий государств - участников Содружества Независимых Государств, утвержденных постановлением</w:t>
      </w:r>
      <w:proofErr w:type="gramEnd"/>
      <w:r>
        <w:t xml:space="preserve"> </w:t>
      </w:r>
      <w:proofErr w:type="gramStart"/>
      <w:r>
        <w:t>Правительства Российской Федерации от 10 февраля 2015 г. N 107 "О порядке определения средней по Единой системе газоснабжения расчетной цены на газ горючий природный, поставляемый потребителям Российской Федерации (кроме населения), расчетной цены реализации газа за пределы территорий государств - участников Содружества Независимых Государств и расходов на транспортировку и хранение газа за пределами территорий государств - членов Таможенного союза при его реализации за</w:t>
      </w:r>
      <w:proofErr w:type="gramEnd"/>
      <w:r>
        <w:t xml:space="preserve"> пределы территорий государств - участников Содружества Независимых Государств" (Собрание законодательства Российской Федерации, 2015, N 7, ст. 1047), изложить в следующей редакции:</w:t>
      </w:r>
    </w:p>
    <w:p w:rsidR="00504D85" w:rsidRDefault="00504D85">
      <w:pPr>
        <w:pStyle w:val="ConsPlusNormal"/>
        <w:spacing w:before="220"/>
        <w:ind w:firstLine="540"/>
        <w:jc w:val="both"/>
      </w:pPr>
      <w:r>
        <w:t>"3. Средняя по Единой системе газоснабжения расчетная цена на газ, поставляемый потребителям Российской Федерации (кроме населения) (Цв), определяется по формуле:</w:t>
      </w:r>
    </w:p>
    <w:p w:rsidR="00504D85" w:rsidRDefault="00504D85">
      <w:pPr>
        <w:pStyle w:val="ConsPlusNormal"/>
        <w:ind w:firstLine="540"/>
        <w:jc w:val="both"/>
      </w:pPr>
    </w:p>
    <w:p w:rsidR="00504D85" w:rsidRDefault="00504D85">
      <w:pPr>
        <w:pStyle w:val="ConsPlusNormal"/>
        <w:jc w:val="center"/>
      </w:pPr>
      <w:r>
        <w:t>Цв = ЦоптНН / 0,9955,</w:t>
      </w:r>
    </w:p>
    <w:p w:rsidR="00504D85" w:rsidRDefault="00504D85">
      <w:pPr>
        <w:pStyle w:val="ConsPlusNormal"/>
        <w:ind w:firstLine="540"/>
        <w:jc w:val="both"/>
      </w:pPr>
    </w:p>
    <w:p w:rsidR="00504D85" w:rsidRDefault="00504D85">
      <w:pPr>
        <w:pStyle w:val="ConsPlusNormal"/>
        <w:ind w:firstLine="540"/>
        <w:jc w:val="both"/>
      </w:pPr>
      <w:proofErr w:type="gramStart"/>
      <w:r>
        <w:t xml:space="preserve">где ЦоптНН - регулируемая оптовая цена на газ, добываемый публичным акционерным обществом "Газпром" и его аффилированными лицами, реализуемый организациям, осуществляющим по состоянию на 1 декабря 2023 г. в качестве основного вида экономической </w:t>
      </w:r>
      <w:r>
        <w:lastRenderedPageBreak/>
        <w:t xml:space="preserve">деятельности производство электроэнергии тепловыми электростанциями, производство, передачу и распределение пара и горячей воды тепловыми электростанциями и (или) котельными с кодами ОКВЭД </w:t>
      </w:r>
      <w:hyperlink r:id="rId70">
        <w:r>
          <w:rPr>
            <w:color w:val="0000FF"/>
          </w:rPr>
          <w:t>35.11.1</w:t>
        </w:r>
      </w:hyperlink>
      <w:r>
        <w:t xml:space="preserve">, </w:t>
      </w:r>
      <w:hyperlink r:id="rId71">
        <w:r>
          <w:rPr>
            <w:color w:val="0000FF"/>
          </w:rPr>
          <w:t>35.30.11</w:t>
        </w:r>
      </w:hyperlink>
      <w:r>
        <w:t xml:space="preserve">, </w:t>
      </w:r>
      <w:hyperlink r:id="rId72">
        <w:r>
          <w:rPr>
            <w:color w:val="0000FF"/>
          </w:rPr>
          <w:t>35.30.14</w:t>
        </w:r>
      </w:hyperlink>
      <w:r>
        <w:t xml:space="preserve">, </w:t>
      </w:r>
      <w:hyperlink r:id="rId73">
        <w:r>
          <w:rPr>
            <w:color w:val="0000FF"/>
          </w:rPr>
          <w:t>35.30.2</w:t>
        </w:r>
      </w:hyperlink>
      <w:r>
        <w:t xml:space="preserve">, </w:t>
      </w:r>
      <w:hyperlink r:id="rId74">
        <w:r>
          <w:rPr>
            <w:color w:val="0000FF"/>
          </w:rPr>
          <w:t>35.30.3</w:t>
        </w:r>
      </w:hyperlink>
      <w:r>
        <w:t>, организациям, осуществляющим деятельность</w:t>
      </w:r>
      <w:proofErr w:type="gramEnd"/>
      <w:r>
        <w:t xml:space="preserve"> </w:t>
      </w:r>
      <w:proofErr w:type="gramStart"/>
      <w:r>
        <w:t xml:space="preserve">с указанными кодами </w:t>
      </w:r>
      <w:hyperlink r:id="rId75">
        <w:r>
          <w:rPr>
            <w:color w:val="0000FF"/>
          </w:rPr>
          <w:t>ОКВЭД</w:t>
        </w:r>
      </w:hyperlink>
      <w:r>
        <w:t xml:space="preserve"> в качестве дополнительного вида экономической деятельности при условии осуществления ими в качестве основного вида экономической деятельности с кодами ОКВЭД </w:t>
      </w:r>
      <w:hyperlink r:id="rId76">
        <w:r>
          <w:rPr>
            <w:color w:val="0000FF"/>
          </w:rPr>
          <w:t>35.11</w:t>
        </w:r>
      </w:hyperlink>
      <w:r>
        <w:t xml:space="preserve">, </w:t>
      </w:r>
      <w:hyperlink r:id="rId77">
        <w:r>
          <w:rPr>
            <w:color w:val="0000FF"/>
          </w:rPr>
          <w:t>35.3</w:t>
        </w:r>
      </w:hyperlink>
      <w:r>
        <w:t xml:space="preserve">, </w:t>
      </w:r>
      <w:hyperlink r:id="rId78">
        <w:r>
          <w:rPr>
            <w:color w:val="0000FF"/>
          </w:rPr>
          <w:t>35.30</w:t>
        </w:r>
      </w:hyperlink>
      <w:r>
        <w:t xml:space="preserve">, </w:t>
      </w:r>
      <w:hyperlink r:id="rId79">
        <w:r>
          <w:rPr>
            <w:color w:val="0000FF"/>
          </w:rPr>
          <w:t>35.30.1</w:t>
        </w:r>
      </w:hyperlink>
      <w:r>
        <w:t xml:space="preserve">, </w:t>
      </w:r>
      <w:hyperlink r:id="rId80">
        <w:r>
          <w:rPr>
            <w:color w:val="0000FF"/>
          </w:rPr>
          <w:t>68.32.1</w:t>
        </w:r>
      </w:hyperlink>
      <w:r>
        <w:t>, организациям, выручка от реализации тепловой и (или) электрической энергии (мощности) которых составляет не менее 75 процентов общей выручки, организациям, выручка от реализации тепловой и (или) электрической энергии (мощности) которых составляет менее 75</w:t>
      </w:r>
      <w:proofErr w:type="gramEnd"/>
      <w:r>
        <w:t xml:space="preserve"> </w:t>
      </w:r>
      <w:proofErr w:type="gramStart"/>
      <w:r>
        <w:t xml:space="preserve">процентов общей выручки, приобретающих газ в объемах, необходимых для производства и реализации тепловой и (или) электрической энергии (мощности) по регулируемым ценам (тарифам) (далее - исключающая группа), либо организациям-недропользователям (коды ОКВЭД </w:t>
      </w:r>
      <w:hyperlink r:id="rId81">
        <w:r>
          <w:rPr>
            <w:color w:val="0000FF"/>
          </w:rPr>
          <w:t>06.10.1</w:t>
        </w:r>
      </w:hyperlink>
      <w:r>
        <w:t xml:space="preserve">, </w:t>
      </w:r>
      <w:hyperlink r:id="rId82">
        <w:r>
          <w:rPr>
            <w:color w:val="0000FF"/>
          </w:rPr>
          <w:t>06.20</w:t>
        </w:r>
      </w:hyperlink>
      <w:r>
        <w:t>) и (или) их аффилированным лицам, не входящим с такими недропользователями в одну группу компаний, или организациям, осуществляющим в качестве основного вида экономической деятельности распределение газообразного топлива по газораспределительным сетям</w:t>
      </w:r>
      <w:proofErr w:type="gramEnd"/>
      <w:r>
        <w:t xml:space="preserve"> </w:t>
      </w:r>
      <w:proofErr w:type="gramStart"/>
      <w:r>
        <w:t xml:space="preserve">и торговлю твердым, жидким и газообразным топливом и подобными продуктами с кодами ОКВЭД </w:t>
      </w:r>
      <w:hyperlink r:id="rId83">
        <w:r>
          <w:rPr>
            <w:color w:val="0000FF"/>
          </w:rPr>
          <w:t>35.22</w:t>
        </w:r>
      </w:hyperlink>
      <w:r>
        <w:t xml:space="preserve">, </w:t>
      </w:r>
      <w:hyperlink r:id="rId84">
        <w:r>
          <w:rPr>
            <w:color w:val="0000FF"/>
          </w:rPr>
          <w:t>46.71</w:t>
        </w:r>
      </w:hyperlink>
      <w:r>
        <w:t xml:space="preserve">, приобретающим газ для перепродажи потребителям, входящим в исключающую группу, Нижегородской области, определенная в соответствии с </w:t>
      </w:r>
      <w:hyperlink r:id="rId85">
        <w:r>
          <w:rPr>
            <w:color w:val="0000FF"/>
          </w:rPr>
          <w:t>абзацем одиннадцатым пункта 2</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w:t>
      </w:r>
      <w:proofErr w:type="gramEnd"/>
      <w:r>
        <w:t xml:space="preserve"> </w:t>
      </w:r>
      <w:proofErr w:type="gramStart"/>
      <w:r>
        <w:t>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"О государственном регулировании цен на газ, тарифов на услуги по</w:t>
      </w:r>
      <w:proofErr w:type="gramEnd"/>
      <w:r>
        <w:t xml:space="preserve"> </w:t>
      </w:r>
      <w:proofErr w:type="gramStart"/>
      <w:r>
        <w:t>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на налоговый период.".</w:t>
      </w:r>
      <w:proofErr w:type="gramEnd"/>
    </w:p>
    <w:p w:rsidR="00504D85" w:rsidRDefault="00504D85">
      <w:pPr>
        <w:pStyle w:val="ConsPlusNormal"/>
        <w:jc w:val="both"/>
      </w:pPr>
    </w:p>
    <w:p w:rsidR="00504D85" w:rsidRDefault="00504D85">
      <w:pPr>
        <w:pStyle w:val="ConsPlusNormal"/>
        <w:jc w:val="both"/>
      </w:pPr>
    </w:p>
    <w:p w:rsidR="00504D85" w:rsidRDefault="00504D85">
      <w:pPr>
        <w:pStyle w:val="ConsPlusNormal"/>
        <w:pBdr>
          <w:bottom w:val="single" w:sz="6" w:space="0" w:color="auto"/>
        </w:pBdr>
        <w:spacing w:before="100" w:after="100"/>
        <w:jc w:val="both"/>
        <w:rPr>
          <w:sz w:val="2"/>
          <w:szCs w:val="2"/>
        </w:rPr>
      </w:pPr>
    </w:p>
    <w:p w:rsidR="00B46ACC" w:rsidRDefault="00B46ACC">
      <w:bookmarkStart w:id="3" w:name="_GoBack"/>
      <w:bookmarkEnd w:id="3"/>
    </w:p>
    <w:sectPr w:rsidR="00B46ACC" w:rsidSect="00615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85"/>
    <w:rsid w:val="00504D85"/>
    <w:rsid w:val="00B4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D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4D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4D8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4D8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4D8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04D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49&amp;dst=102783" TargetMode="External"/><Relationship Id="rId18" Type="http://schemas.openxmlformats.org/officeDocument/2006/relationships/hyperlink" Target="https://login.consultant.ru/link/?req=doc&amp;base=LAW&amp;n=466849&amp;dst=100558" TargetMode="External"/><Relationship Id="rId26" Type="http://schemas.openxmlformats.org/officeDocument/2006/relationships/hyperlink" Target="https://login.consultant.ru/link/?req=doc&amp;base=LAW&amp;n=433260&amp;dst=173" TargetMode="External"/><Relationship Id="rId39" Type="http://schemas.openxmlformats.org/officeDocument/2006/relationships/hyperlink" Target="https://login.consultant.ru/link/?req=doc&amp;base=LAW&amp;n=466849&amp;dst=102715" TargetMode="External"/><Relationship Id="rId21" Type="http://schemas.openxmlformats.org/officeDocument/2006/relationships/hyperlink" Target="https://login.consultant.ru/link/?req=doc&amp;base=LAW&amp;n=466849&amp;dst=100548" TargetMode="External"/><Relationship Id="rId34" Type="http://schemas.openxmlformats.org/officeDocument/2006/relationships/hyperlink" Target="https://login.consultant.ru/link/?req=doc&amp;base=LAW&amp;n=466849&amp;dst=102789" TargetMode="External"/><Relationship Id="rId42" Type="http://schemas.openxmlformats.org/officeDocument/2006/relationships/hyperlink" Target="https://login.consultant.ru/link/?req=doc&amp;base=LAW&amp;n=466849&amp;dst=102787" TargetMode="External"/><Relationship Id="rId47" Type="http://schemas.openxmlformats.org/officeDocument/2006/relationships/hyperlink" Target="https://login.consultant.ru/link/?req=doc&amp;base=LAW&amp;n=466849&amp;dst=103483" TargetMode="External"/><Relationship Id="rId50" Type="http://schemas.openxmlformats.org/officeDocument/2006/relationships/hyperlink" Target="https://login.consultant.ru/link/?req=doc&amp;base=LAW&amp;n=466849&amp;dst=100548" TargetMode="External"/><Relationship Id="rId55" Type="http://schemas.openxmlformats.org/officeDocument/2006/relationships/hyperlink" Target="https://login.consultant.ru/link/?req=doc&amp;base=LAW&amp;n=466849&amp;dst=100558" TargetMode="External"/><Relationship Id="rId63" Type="http://schemas.openxmlformats.org/officeDocument/2006/relationships/hyperlink" Target="https://login.consultant.ru/link/?req=doc&amp;base=LAW&amp;n=433260&amp;dst=164" TargetMode="External"/><Relationship Id="rId68" Type="http://schemas.openxmlformats.org/officeDocument/2006/relationships/hyperlink" Target="https://login.consultant.ru/link/?req=doc&amp;base=LAW&amp;n=474792&amp;dst=220" TargetMode="External"/><Relationship Id="rId76" Type="http://schemas.openxmlformats.org/officeDocument/2006/relationships/hyperlink" Target="https://login.consultant.ru/link/?req=doc&amp;base=LAW&amp;n=466849&amp;dst=102715" TargetMode="External"/><Relationship Id="rId84" Type="http://schemas.openxmlformats.org/officeDocument/2006/relationships/hyperlink" Target="https://login.consultant.ru/link/?req=doc&amp;base=LAW&amp;n=466849&amp;dst=103483" TargetMode="External"/><Relationship Id="rId7" Type="http://schemas.openxmlformats.org/officeDocument/2006/relationships/hyperlink" Target="https://login.consultant.ru/link/?req=doc&amp;base=LAW&amp;n=466849&amp;dst=102789" TargetMode="External"/><Relationship Id="rId71" Type="http://schemas.openxmlformats.org/officeDocument/2006/relationships/hyperlink" Target="https://login.consultant.ru/link/?req=doc&amp;base=LAW&amp;n=466849&amp;dst=10278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849&amp;dst=104788" TargetMode="External"/><Relationship Id="rId29" Type="http://schemas.openxmlformats.org/officeDocument/2006/relationships/hyperlink" Target="https://login.consultant.ru/link/?req=doc&amp;base=LAW&amp;n=433260&amp;dst=8" TargetMode="External"/><Relationship Id="rId11" Type="http://schemas.openxmlformats.org/officeDocument/2006/relationships/hyperlink" Target="https://login.consultant.ru/link/?req=doc&amp;base=LAW&amp;n=466849" TargetMode="External"/><Relationship Id="rId24" Type="http://schemas.openxmlformats.org/officeDocument/2006/relationships/hyperlink" Target="https://login.consultant.ru/link/?req=doc&amp;base=LAW&amp;n=466849&amp;dst=103483" TargetMode="External"/><Relationship Id="rId32" Type="http://schemas.openxmlformats.org/officeDocument/2006/relationships/hyperlink" Target="https://login.consultant.ru/link/?req=doc&amp;base=LAW&amp;n=433260&amp;dst=137" TargetMode="External"/><Relationship Id="rId37" Type="http://schemas.openxmlformats.org/officeDocument/2006/relationships/hyperlink" Target="https://login.consultant.ru/link/?req=doc&amp;base=LAW&amp;n=466849&amp;dst=102801" TargetMode="External"/><Relationship Id="rId40" Type="http://schemas.openxmlformats.org/officeDocument/2006/relationships/hyperlink" Target="https://login.consultant.ru/link/?req=doc&amp;base=LAW&amp;n=466849&amp;dst=102783" TargetMode="External"/><Relationship Id="rId45" Type="http://schemas.openxmlformats.org/officeDocument/2006/relationships/hyperlink" Target="https://login.consultant.ru/link/?req=doc&amp;base=LAW&amp;n=466849&amp;dst=100558" TargetMode="External"/><Relationship Id="rId53" Type="http://schemas.openxmlformats.org/officeDocument/2006/relationships/hyperlink" Target="https://login.consultant.ru/link/?req=doc&amp;base=LAW&amp;n=466849&amp;dst=103483" TargetMode="External"/><Relationship Id="rId58" Type="http://schemas.openxmlformats.org/officeDocument/2006/relationships/hyperlink" Target="https://login.consultant.ru/link/?req=doc&amp;base=LAW&amp;n=433260&amp;dst=10" TargetMode="External"/><Relationship Id="rId66" Type="http://schemas.openxmlformats.org/officeDocument/2006/relationships/hyperlink" Target="https://login.consultant.ru/link/?req=doc&amp;base=LAW&amp;n=419340&amp;dst=11" TargetMode="External"/><Relationship Id="rId74" Type="http://schemas.openxmlformats.org/officeDocument/2006/relationships/hyperlink" Target="https://login.consultant.ru/link/?req=doc&amp;base=LAW&amp;n=466849&amp;dst=102801" TargetMode="External"/><Relationship Id="rId79" Type="http://schemas.openxmlformats.org/officeDocument/2006/relationships/hyperlink" Target="https://login.consultant.ru/link/?req=doc&amp;base=LAW&amp;n=466849&amp;dst=102787" TargetMode="External"/><Relationship Id="rId87"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33260&amp;dst=157" TargetMode="External"/><Relationship Id="rId82" Type="http://schemas.openxmlformats.org/officeDocument/2006/relationships/hyperlink" Target="https://login.consultant.ru/link/?req=doc&amp;base=LAW&amp;n=466849&amp;dst=100558" TargetMode="External"/><Relationship Id="rId19" Type="http://schemas.openxmlformats.org/officeDocument/2006/relationships/hyperlink" Target="https://login.consultant.ru/link/?req=doc&amp;base=LAW&amp;n=466849&amp;dst=1027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49&amp;dst=102799" TargetMode="External"/><Relationship Id="rId14" Type="http://schemas.openxmlformats.org/officeDocument/2006/relationships/hyperlink" Target="https://login.consultant.ru/link/?req=doc&amp;base=LAW&amp;n=466849&amp;dst=102785" TargetMode="External"/><Relationship Id="rId22" Type="http://schemas.openxmlformats.org/officeDocument/2006/relationships/hyperlink" Target="https://login.consultant.ru/link/?req=doc&amp;base=LAW&amp;n=466849&amp;dst=100558" TargetMode="External"/><Relationship Id="rId27" Type="http://schemas.openxmlformats.org/officeDocument/2006/relationships/hyperlink" Target="https://login.consultant.ru/link/?req=doc&amp;base=LAW&amp;n=433260&amp;dst=54" TargetMode="External"/><Relationship Id="rId30" Type="http://schemas.openxmlformats.org/officeDocument/2006/relationships/hyperlink" Target="https://login.consultant.ru/link/?req=doc&amp;base=LAW&amp;n=433260&amp;dst=25" TargetMode="External"/><Relationship Id="rId35" Type="http://schemas.openxmlformats.org/officeDocument/2006/relationships/hyperlink" Target="https://login.consultant.ru/link/?req=doc&amp;base=LAW&amp;n=466849&amp;dst=102795" TargetMode="External"/><Relationship Id="rId43" Type="http://schemas.openxmlformats.org/officeDocument/2006/relationships/hyperlink" Target="https://login.consultant.ru/link/?req=doc&amp;base=LAW&amp;n=466849&amp;dst=104788" TargetMode="External"/><Relationship Id="rId48" Type="http://schemas.openxmlformats.org/officeDocument/2006/relationships/hyperlink" Target="https://login.consultant.ru/link/?req=doc&amp;base=LAW&amp;n=433260&amp;dst=137" TargetMode="External"/><Relationship Id="rId56" Type="http://schemas.openxmlformats.org/officeDocument/2006/relationships/hyperlink" Target="https://login.consultant.ru/link/?req=doc&amp;base=LAW&amp;n=466849&amp;dst=102755" TargetMode="External"/><Relationship Id="rId64" Type="http://schemas.openxmlformats.org/officeDocument/2006/relationships/hyperlink" Target="https://login.consultant.ru/link/?req=doc&amp;base=LAW&amp;n=433260&amp;dst=168" TargetMode="External"/><Relationship Id="rId69" Type="http://schemas.openxmlformats.org/officeDocument/2006/relationships/hyperlink" Target="https://login.consultant.ru/link/?req=doc&amp;base=LAW&amp;n=185846&amp;dst=100018" TargetMode="External"/><Relationship Id="rId77" Type="http://schemas.openxmlformats.org/officeDocument/2006/relationships/hyperlink" Target="https://login.consultant.ru/link/?req=doc&amp;base=LAW&amp;n=466849&amp;dst=102783" TargetMode="External"/><Relationship Id="rId8" Type="http://schemas.openxmlformats.org/officeDocument/2006/relationships/hyperlink" Target="https://login.consultant.ru/link/?req=doc&amp;base=LAW&amp;n=466849&amp;dst=102795" TargetMode="External"/><Relationship Id="rId51" Type="http://schemas.openxmlformats.org/officeDocument/2006/relationships/hyperlink" Target="https://login.consultant.ru/link/?req=doc&amp;base=LAW&amp;n=466849&amp;dst=100558" TargetMode="External"/><Relationship Id="rId72" Type="http://schemas.openxmlformats.org/officeDocument/2006/relationships/hyperlink" Target="https://login.consultant.ru/link/?req=doc&amp;base=LAW&amp;n=466849&amp;dst=102795" TargetMode="External"/><Relationship Id="rId80" Type="http://schemas.openxmlformats.org/officeDocument/2006/relationships/hyperlink" Target="https://login.consultant.ru/link/?req=doc&amp;base=LAW&amp;n=466849&amp;dst=104788" TargetMode="External"/><Relationship Id="rId85" Type="http://schemas.openxmlformats.org/officeDocument/2006/relationships/hyperlink" Target="https://login.consultant.ru/link/?req=doc&amp;base=LAW&amp;n=474792&amp;dst=100195" TargetMode="External"/><Relationship Id="rId3" Type="http://schemas.openxmlformats.org/officeDocument/2006/relationships/settings" Target="settings.xml"/><Relationship Id="rId12" Type="http://schemas.openxmlformats.org/officeDocument/2006/relationships/hyperlink" Target="https://login.consultant.ru/link/?req=doc&amp;base=LAW&amp;n=466849&amp;dst=102715" TargetMode="External"/><Relationship Id="rId17" Type="http://schemas.openxmlformats.org/officeDocument/2006/relationships/hyperlink" Target="https://login.consultant.ru/link/?req=doc&amp;base=LAW&amp;n=466849&amp;dst=100548" TargetMode="External"/><Relationship Id="rId25" Type="http://schemas.openxmlformats.org/officeDocument/2006/relationships/hyperlink" Target="https://login.consultant.ru/link/?req=doc&amp;base=LAW&amp;n=185803&amp;dst=100029" TargetMode="External"/><Relationship Id="rId33" Type="http://schemas.openxmlformats.org/officeDocument/2006/relationships/hyperlink" Target="https://login.consultant.ru/link/?req=doc&amp;base=LAW&amp;n=466849&amp;dst=102717" TargetMode="External"/><Relationship Id="rId38" Type="http://schemas.openxmlformats.org/officeDocument/2006/relationships/hyperlink" Target="https://login.consultant.ru/link/?req=doc&amp;base=LAW&amp;n=466849" TargetMode="External"/><Relationship Id="rId46" Type="http://schemas.openxmlformats.org/officeDocument/2006/relationships/hyperlink" Target="https://login.consultant.ru/link/?req=doc&amp;base=LAW&amp;n=466849&amp;dst=102755" TargetMode="External"/><Relationship Id="rId59" Type="http://schemas.openxmlformats.org/officeDocument/2006/relationships/hyperlink" Target="https://login.consultant.ru/link/?req=doc&amp;base=LAW&amp;n=433260&amp;dst=138" TargetMode="External"/><Relationship Id="rId67" Type="http://schemas.openxmlformats.org/officeDocument/2006/relationships/hyperlink" Target="https://login.consultant.ru/link/?req=doc&amp;base=LAW&amp;n=474792&amp;dst=158" TargetMode="External"/><Relationship Id="rId20" Type="http://schemas.openxmlformats.org/officeDocument/2006/relationships/hyperlink" Target="https://login.consultant.ru/link/?req=doc&amp;base=LAW&amp;n=466849&amp;dst=103483" TargetMode="External"/><Relationship Id="rId41" Type="http://schemas.openxmlformats.org/officeDocument/2006/relationships/hyperlink" Target="https://login.consultant.ru/link/?req=doc&amp;base=LAW&amp;n=466849&amp;dst=102785" TargetMode="External"/><Relationship Id="rId54" Type="http://schemas.openxmlformats.org/officeDocument/2006/relationships/hyperlink" Target="https://login.consultant.ru/link/?req=doc&amp;base=LAW&amp;n=466849&amp;dst=100548" TargetMode="External"/><Relationship Id="rId62" Type="http://schemas.openxmlformats.org/officeDocument/2006/relationships/hyperlink" Target="https://login.consultant.ru/link/?req=doc&amp;base=LAW&amp;n=433260&amp;dst=221" TargetMode="External"/><Relationship Id="rId70" Type="http://schemas.openxmlformats.org/officeDocument/2006/relationships/hyperlink" Target="https://login.consultant.ru/link/?req=doc&amp;base=LAW&amp;n=466849&amp;dst=102717" TargetMode="External"/><Relationship Id="rId75" Type="http://schemas.openxmlformats.org/officeDocument/2006/relationships/hyperlink" Target="https://login.consultant.ru/link/?req=doc&amp;base=LAW&amp;n=466849" TargetMode="External"/><Relationship Id="rId83" Type="http://schemas.openxmlformats.org/officeDocument/2006/relationships/hyperlink" Target="https://login.consultant.ru/link/?req=doc&amp;base=LAW&amp;n=466849&amp;dst=102755" TargetMode="External"/><Relationship Id="rId1" Type="http://schemas.openxmlformats.org/officeDocument/2006/relationships/styles" Target="styles.xml"/><Relationship Id="rId6" Type="http://schemas.openxmlformats.org/officeDocument/2006/relationships/hyperlink" Target="https://login.consultant.ru/link/?req=doc&amp;base=LAW&amp;n=466849&amp;dst=102717" TargetMode="External"/><Relationship Id="rId15" Type="http://schemas.openxmlformats.org/officeDocument/2006/relationships/hyperlink" Target="https://login.consultant.ru/link/?req=doc&amp;base=LAW&amp;n=466849&amp;dst=102787" TargetMode="External"/><Relationship Id="rId23" Type="http://schemas.openxmlformats.org/officeDocument/2006/relationships/hyperlink" Target="https://login.consultant.ru/link/?req=doc&amp;base=LAW&amp;n=466849&amp;dst=102755" TargetMode="External"/><Relationship Id="rId28" Type="http://schemas.openxmlformats.org/officeDocument/2006/relationships/hyperlink" Target="https://login.consultant.ru/link/?req=doc&amp;base=LAW&amp;n=433260&amp;dst=6" TargetMode="External"/><Relationship Id="rId36" Type="http://schemas.openxmlformats.org/officeDocument/2006/relationships/hyperlink" Target="https://login.consultant.ru/link/?req=doc&amp;base=LAW&amp;n=466849&amp;dst=102799" TargetMode="External"/><Relationship Id="rId49" Type="http://schemas.openxmlformats.org/officeDocument/2006/relationships/hyperlink" Target="https://login.consultant.ru/link/?req=doc&amp;base=LAW&amp;n=433260&amp;dst=173" TargetMode="External"/><Relationship Id="rId57" Type="http://schemas.openxmlformats.org/officeDocument/2006/relationships/hyperlink" Target="https://login.consultant.ru/link/?req=doc&amp;base=LAW&amp;n=466849&amp;dst=103483" TargetMode="External"/><Relationship Id="rId10" Type="http://schemas.openxmlformats.org/officeDocument/2006/relationships/hyperlink" Target="https://login.consultant.ru/link/?req=doc&amp;base=LAW&amp;n=466849&amp;dst=102801" TargetMode="External"/><Relationship Id="rId31" Type="http://schemas.openxmlformats.org/officeDocument/2006/relationships/hyperlink" Target="https://login.consultant.ru/link/?req=doc&amp;base=LAW&amp;n=433260&amp;dst=137" TargetMode="External"/><Relationship Id="rId44" Type="http://schemas.openxmlformats.org/officeDocument/2006/relationships/hyperlink" Target="https://login.consultant.ru/link/?req=doc&amp;base=LAW&amp;n=466849&amp;dst=100548" TargetMode="External"/><Relationship Id="rId52" Type="http://schemas.openxmlformats.org/officeDocument/2006/relationships/hyperlink" Target="https://login.consultant.ru/link/?req=doc&amp;base=LAW&amp;n=466849&amp;dst=102755" TargetMode="External"/><Relationship Id="rId60" Type="http://schemas.openxmlformats.org/officeDocument/2006/relationships/hyperlink" Target="https://login.consultant.ru/link/?req=doc&amp;base=LAW&amp;n=433260&amp;dst=12" TargetMode="External"/><Relationship Id="rId65" Type="http://schemas.openxmlformats.org/officeDocument/2006/relationships/hyperlink" Target="https://login.consultant.ru/link/?req=doc&amp;base=LAW&amp;n=433260&amp;dst=225" TargetMode="External"/><Relationship Id="rId73" Type="http://schemas.openxmlformats.org/officeDocument/2006/relationships/hyperlink" Target="https://login.consultant.ru/link/?req=doc&amp;base=LAW&amp;n=466849&amp;dst=102799" TargetMode="External"/><Relationship Id="rId78" Type="http://schemas.openxmlformats.org/officeDocument/2006/relationships/hyperlink" Target="https://login.consultant.ru/link/?req=doc&amp;base=LAW&amp;n=466849&amp;dst=102785" TargetMode="External"/><Relationship Id="rId81" Type="http://schemas.openxmlformats.org/officeDocument/2006/relationships/hyperlink" Target="https://login.consultant.ru/link/?req=doc&amp;base=LAW&amp;n=466849&amp;dst=100548"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IT Organization</Company>
  <LinksUpToDate>false</LinksUpToDate>
  <CharactersWithSpaces>26742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Тощакова Елена Александровна</dc:creator>
  <cp:lastModifiedBy>Тощакова Елена Александровна</cp:lastModifiedBy>
  <cp:revision>1</cp:revision>
  <dcterms:created xsi:type="dcterms:W3CDTF">2024-07-09T10:02:00Z</dcterms:created>
  <dcterms:modified xsi:type="dcterms:W3CDTF">2024-07-09T10:03:00Z</dcterms:modified>
</cp:coreProperties>
</file>